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D3" w:rsidRPr="00B5618B" w:rsidRDefault="006468D3" w:rsidP="00605E1E">
      <w:pPr>
        <w:pStyle w:val="BodyText"/>
        <w:spacing w:after="120" w:line="480" w:lineRule="auto"/>
        <w:ind w:left="3600" w:firstLine="720"/>
        <w:jc w:val="both"/>
        <w:rPr>
          <w:sz w:val="24"/>
        </w:rPr>
      </w:pPr>
      <w:r w:rsidRPr="00B5618B">
        <w:rPr>
          <w:sz w:val="24"/>
        </w:rPr>
        <w:t>ABSTRACT</w:t>
      </w:r>
    </w:p>
    <w:p w:rsidR="00562F95" w:rsidRPr="00B5618B" w:rsidRDefault="00F31419" w:rsidP="00605E1E">
      <w:pPr>
        <w:pStyle w:val="BodyText"/>
        <w:spacing w:after="120" w:line="480" w:lineRule="auto"/>
        <w:jc w:val="both"/>
        <w:rPr>
          <w:sz w:val="24"/>
        </w:rPr>
      </w:pPr>
      <w:r>
        <w:rPr>
          <w:sz w:val="24"/>
        </w:rPr>
        <w:t xml:space="preserve">Surveillance evaluation of the </w:t>
      </w:r>
      <w:r w:rsidR="001A11B5">
        <w:rPr>
          <w:sz w:val="24"/>
        </w:rPr>
        <w:t>integrated disease surveillance project (</w:t>
      </w:r>
      <w:r>
        <w:rPr>
          <w:sz w:val="24"/>
        </w:rPr>
        <w:t>IDSP</w:t>
      </w:r>
      <w:r w:rsidR="001A11B5">
        <w:rPr>
          <w:sz w:val="24"/>
        </w:rPr>
        <w:t>)</w:t>
      </w:r>
      <w:r>
        <w:rPr>
          <w:sz w:val="24"/>
        </w:rPr>
        <w:t xml:space="preserve"> </w:t>
      </w:r>
      <w:r w:rsidR="00ED7601">
        <w:rPr>
          <w:sz w:val="24"/>
        </w:rPr>
        <w:t xml:space="preserve">w.r.t. TB </w:t>
      </w:r>
      <w:r>
        <w:rPr>
          <w:sz w:val="24"/>
        </w:rPr>
        <w:t>in Shimla district of Himachal Pradesh</w:t>
      </w:r>
      <w:r w:rsidR="006F1500">
        <w:rPr>
          <w:sz w:val="24"/>
        </w:rPr>
        <w:t>, India</w:t>
      </w:r>
    </w:p>
    <w:p w:rsidR="00ED7601" w:rsidRDefault="00562F95" w:rsidP="00605E1E">
      <w:pPr>
        <w:pStyle w:val="BodyText"/>
        <w:spacing w:after="120" w:line="480" w:lineRule="auto"/>
        <w:jc w:val="both"/>
        <w:rPr>
          <w:b w:val="0"/>
          <w:sz w:val="24"/>
        </w:rPr>
      </w:pPr>
      <w:r w:rsidRPr="00B5618B">
        <w:rPr>
          <w:b w:val="0"/>
          <w:sz w:val="24"/>
        </w:rPr>
        <w:t xml:space="preserve"> </w:t>
      </w:r>
      <w:r w:rsidR="006468D3" w:rsidRPr="00B5618B">
        <w:rPr>
          <w:b w:val="0"/>
          <w:sz w:val="24"/>
        </w:rPr>
        <w:t xml:space="preserve">Dr. </w:t>
      </w:r>
      <w:r w:rsidR="00376400" w:rsidRPr="00B5618B">
        <w:rPr>
          <w:b w:val="0"/>
          <w:sz w:val="24"/>
        </w:rPr>
        <w:t>Omesh</w:t>
      </w:r>
      <w:r w:rsidR="00ED7601" w:rsidRPr="00ED7601">
        <w:rPr>
          <w:b w:val="0"/>
          <w:sz w:val="24"/>
        </w:rPr>
        <w:t xml:space="preserve"> </w:t>
      </w:r>
      <w:r w:rsidR="00ED7601" w:rsidRPr="00B5618B">
        <w:rPr>
          <w:b w:val="0"/>
          <w:sz w:val="24"/>
        </w:rPr>
        <w:t xml:space="preserve">Kumar </w:t>
      </w:r>
      <w:r w:rsidR="00ED7601">
        <w:rPr>
          <w:b w:val="0"/>
          <w:sz w:val="24"/>
        </w:rPr>
        <w:t>Bharti*</w:t>
      </w:r>
      <w:r w:rsidR="006468D3" w:rsidRPr="00B5618B">
        <w:rPr>
          <w:b w:val="0"/>
          <w:sz w:val="24"/>
        </w:rPr>
        <w:t xml:space="preserve">, </w:t>
      </w:r>
      <w:r w:rsidR="00B920B0" w:rsidRPr="00B5618B">
        <w:rPr>
          <w:b w:val="0"/>
          <w:sz w:val="24"/>
        </w:rPr>
        <w:t xml:space="preserve">Dr. Vidya </w:t>
      </w:r>
      <w:r w:rsidR="00ED7601">
        <w:rPr>
          <w:b w:val="0"/>
          <w:sz w:val="24"/>
        </w:rPr>
        <w:t>Ramachandran*</w:t>
      </w:r>
      <w:r w:rsidR="006468D3" w:rsidRPr="00B5618B">
        <w:rPr>
          <w:b w:val="0"/>
          <w:sz w:val="24"/>
        </w:rPr>
        <w:t>,</w:t>
      </w:r>
    </w:p>
    <w:p w:rsidR="006468D3" w:rsidRPr="00B5618B" w:rsidRDefault="00ED7601" w:rsidP="00605E1E">
      <w:pPr>
        <w:pStyle w:val="BodyText"/>
        <w:spacing w:after="120" w:line="480" w:lineRule="auto"/>
        <w:jc w:val="both"/>
        <w:rPr>
          <w:b w:val="0"/>
          <w:sz w:val="24"/>
        </w:rPr>
      </w:pPr>
      <w:r>
        <w:rPr>
          <w:b w:val="0"/>
          <w:sz w:val="24"/>
        </w:rPr>
        <w:t>*</w:t>
      </w:r>
      <w:r w:rsidR="006468D3" w:rsidRPr="00B5618B">
        <w:rPr>
          <w:b w:val="0"/>
          <w:sz w:val="24"/>
        </w:rPr>
        <w:t>National Institute of Epidemiology, Chennai, India</w:t>
      </w:r>
      <w:r w:rsidR="00B920B0" w:rsidRPr="00B5618B">
        <w:rPr>
          <w:b w:val="0"/>
          <w:sz w:val="24"/>
        </w:rPr>
        <w:t>.</w:t>
      </w:r>
    </w:p>
    <w:p w:rsidR="006468D3" w:rsidRPr="00B5618B" w:rsidRDefault="006468D3" w:rsidP="00605E1E">
      <w:pPr>
        <w:pStyle w:val="Heading"/>
        <w:spacing w:before="0" w:line="480" w:lineRule="auto"/>
        <w:jc w:val="both"/>
        <w:rPr>
          <w:rFonts w:ascii="Times New Roman" w:eastAsia="Times New Roman" w:hAnsi="Times New Roman" w:cs="Times New Roman"/>
          <w:b/>
          <w:bCs/>
          <w:sz w:val="24"/>
          <w:szCs w:val="24"/>
        </w:rPr>
      </w:pPr>
      <w:r w:rsidRPr="00B5618B">
        <w:rPr>
          <w:rFonts w:ascii="Times New Roman" w:eastAsia="Times New Roman" w:hAnsi="Times New Roman" w:cs="Times New Roman"/>
          <w:b/>
          <w:bCs/>
          <w:sz w:val="24"/>
          <w:szCs w:val="24"/>
        </w:rPr>
        <w:t>Background:</w:t>
      </w:r>
    </w:p>
    <w:p w:rsidR="006468D3" w:rsidRPr="00B5618B" w:rsidRDefault="00A61291" w:rsidP="00605E1E">
      <w:pPr>
        <w:spacing w:after="120" w:line="480" w:lineRule="auto"/>
        <w:jc w:val="both"/>
      </w:pPr>
      <w:r>
        <w:t>The major objective of IDSP is to recognize early warning signals of impe</w:t>
      </w:r>
      <w:r w:rsidR="000902C8">
        <w:t>n</w:t>
      </w:r>
      <w:r>
        <w:t>ding outbreak and help</w:t>
      </w:r>
      <w:r w:rsidR="00367386">
        <w:t xml:space="preserve"> </w:t>
      </w:r>
      <w:r>
        <w:t>initiate an early response in a timely manner.</w:t>
      </w:r>
      <w:r w:rsidR="007D3CA4">
        <w:t xml:space="preserve"> A</w:t>
      </w:r>
      <w:r>
        <w:t xml:space="preserve"> project to study the disease surveillance project in reference to tuberculosis was undertaken to know the causes of increase in the incidence of tuberculosis</w:t>
      </w:r>
      <w:r w:rsidR="001A11B5">
        <w:t>.</w:t>
      </w:r>
      <w:r>
        <w:t xml:space="preserve"> </w:t>
      </w:r>
    </w:p>
    <w:p w:rsidR="006468D3" w:rsidRPr="00A61291" w:rsidRDefault="006468D3" w:rsidP="00605E1E">
      <w:pPr>
        <w:spacing w:after="120" w:line="480" w:lineRule="auto"/>
        <w:jc w:val="both"/>
        <w:rPr>
          <w:b/>
        </w:rPr>
      </w:pPr>
      <w:r w:rsidRPr="00A61291">
        <w:rPr>
          <w:b/>
        </w:rPr>
        <w:t>Methods:</w:t>
      </w:r>
    </w:p>
    <w:p w:rsidR="004F5615" w:rsidRDefault="00A61291" w:rsidP="00605E1E">
      <w:pPr>
        <w:spacing w:after="120" w:line="480" w:lineRule="auto"/>
        <w:jc w:val="both"/>
      </w:pPr>
      <w:r>
        <w:t>A protocol for evaluation was prepare and shared with all the stakeholders to get their involvement. We mailed self administered questioners to various health functionaries and also had informal discussions with various stakeholders in the district</w:t>
      </w:r>
      <w:r w:rsidR="004F5615">
        <w:t>.</w:t>
      </w:r>
      <w:r w:rsidR="00A21D6D">
        <w:t xml:space="preserve"> </w:t>
      </w:r>
      <w:r w:rsidR="004F5615">
        <w:t xml:space="preserve">We also assessed the level of integration </w:t>
      </w:r>
      <w:r w:rsidR="00355242">
        <w:t xml:space="preserve">as well as </w:t>
      </w:r>
      <w:r w:rsidR="001A11B5">
        <w:t>sensitivity</w:t>
      </w:r>
      <w:r w:rsidR="00355242">
        <w:t xml:space="preserve"> of  IDSP with respect to</w:t>
      </w:r>
      <w:r w:rsidR="001A11B5">
        <w:t xml:space="preserve"> </w:t>
      </w:r>
      <w:r w:rsidR="004F5615">
        <w:t xml:space="preserve">TB </w:t>
      </w:r>
      <w:r w:rsidR="00355242">
        <w:t xml:space="preserve">as component of </w:t>
      </w:r>
      <w:r w:rsidR="001A11B5">
        <w:t xml:space="preserve">Revised national tuberculosis programme, </w:t>
      </w:r>
      <w:r w:rsidR="00355242">
        <w:t xml:space="preserve">RNTCP. </w:t>
      </w:r>
      <w:r w:rsidR="004F5615">
        <w:t>We entered the data in Excel software and calculated various indicators as proportions using Epi Info.</w:t>
      </w:r>
    </w:p>
    <w:p w:rsidR="006468D3" w:rsidRPr="00B5618B" w:rsidRDefault="006468D3" w:rsidP="00605E1E">
      <w:pPr>
        <w:pStyle w:val="Heading"/>
        <w:keepNext w:val="0"/>
        <w:spacing w:before="0" w:line="480" w:lineRule="auto"/>
        <w:jc w:val="both"/>
        <w:rPr>
          <w:rFonts w:ascii="Times New Roman" w:eastAsia="Times New Roman" w:hAnsi="Times New Roman" w:cs="Times New Roman"/>
          <w:b/>
          <w:bCs/>
          <w:sz w:val="24"/>
          <w:szCs w:val="24"/>
        </w:rPr>
      </w:pPr>
      <w:r w:rsidRPr="00B5618B">
        <w:rPr>
          <w:rFonts w:ascii="Times New Roman" w:eastAsia="Times New Roman" w:hAnsi="Times New Roman" w:cs="Times New Roman"/>
          <w:b/>
          <w:bCs/>
          <w:sz w:val="24"/>
          <w:szCs w:val="24"/>
        </w:rPr>
        <w:t>Results:</w:t>
      </w:r>
    </w:p>
    <w:p w:rsidR="00D211C8" w:rsidRPr="006528DC" w:rsidRDefault="00355242" w:rsidP="00A21D6D">
      <w:pPr>
        <w:spacing w:after="120" w:line="480" w:lineRule="auto"/>
        <w:jc w:val="both"/>
        <w:rPr>
          <w:rFonts w:cs="Arial"/>
        </w:rPr>
      </w:pPr>
      <w:r>
        <w:t>The prevalence of TB</w:t>
      </w:r>
      <w:r w:rsidR="004F5615">
        <w:t xml:space="preserve"> in the district is 257/Lakh population and is higher than the state prevalence of 210/lakh population. 208 of 275 health workers </w:t>
      </w:r>
      <w:r w:rsidR="00367386">
        <w:t xml:space="preserve">in place </w:t>
      </w:r>
      <w:r w:rsidR="004F5615">
        <w:t xml:space="preserve">responded to the questioner </w:t>
      </w:r>
      <w:r w:rsidR="00367386">
        <w:t>with a response rate of 78%</w:t>
      </w:r>
      <w:r w:rsidR="004F5615">
        <w:t>.</w:t>
      </w:r>
      <w:r>
        <w:t xml:space="preserve"> </w:t>
      </w:r>
      <w:r w:rsidR="00933902" w:rsidRPr="006528DC">
        <w:rPr>
          <w:rFonts w:cs="Arial"/>
        </w:rPr>
        <w:t xml:space="preserve">IDSP reported 249 cases of cough more than 3 weeks out </w:t>
      </w:r>
      <w:r w:rsidR="00933902" w:rsidRPr="006528DC">
        <w:rPr>
          <w:rFonts w:cs="Arial"/>
        </w:rPr>
        <w:lastRenderedPageBreak/>
        <w:t xml:space="preserve">of that only 131 were sputum positive, while those reported by RNTCP for similar period was 2333 chest </w:t>
      </w:r>
      <w:r w:rsidR="00EC7F61" w:rsidRPr="006528DC">
        <w:rPr>
          <w:rFonts w:cs="Arial"/>
        </w:rPr>
        <w:t>symptomatic</w:t>
      </w:r>
      <w:r w:rsidR="00933902" w:rsidRPr="006528DC">
        <w:rPr>
          <w:rFonts w:cs="Arial"/>
        </w:rPr>
        <w:t xml:space="preserve"> screened and 263 cases were confirmed, and the difference was significant. (</w:t>
      </w:r>
      <w:r w:rsidR="00933902" w:rsidRPr="006528DC">
        <w:rPr>
          <w:rFonts w:cs="Arial"/>
        </w:rPr>
        <w:sym w:font="Symbol" w:char="F063"/>
      </w:r>
      <w:r w:rsidR="00933902" w:rsidRPr="006528DC">
        <w:rPr>
          <w:rFonts w:cs="Arial"/>
          <w:vertAlign w:val="superscript"/>
        </w:rPr>
        <w:t xml:space="preserve">2 </w:t>
      </w:r>
      <w:r w:rsidR="00933902" w:rsidRPr="006528DC">
        <w:rPr>
          <w:rFonts w:cs="Arial"/>
        </w:rPr>
        <w:t>= 297; Df=1 ,p = 0.00).</w:t>
      </w:r>
      <w:r w:rsidR="00D211C8">
        <w:rPr>
          <w:rFonts w:cs="Arial"/>
        </w:rPr>
        <w:t xml:space="preserve"> </w:t>
      </w:r>
      <w:r w:rsidR="00933902" w:rsidRPr="006528DC">
        <w:rPr>
          <w:rFonts w:cs="Arial"/>
        </w:rPr>
        <w:t>This translates into sensitivity of 10% of suspect cases and 50% of confirmed cases</w:t>
      </w:r>
      <w:r w:rsidR="00D211C8">
        <w:rPr>
          <w:rFonts w:cs="Arial"/>
        </w:rPr>
        <w:t>. Positive predictive value is only 20% at MPW level and only 57% reports are timely.</w:t>
      </w:r>
    </w:p>
    <w:p w:rsidR="00C27B1B" w:rsidRPr="00FF6DC8" w:rsidRDefault="00933902" w:rsidP="007D3CA4">
      <w:pPr>
        <w:spacing w:before="240" w:line="480" w:lineRule="auto"/>
        <w:jc w:val="both"/>
      </w:pPr>
      <w:r w:rsidRPr="006528DC">
        <w:rPr>
          <w:rFonts w:cs="Arial"/>
        </w:rPr>
        <w:t xml:space="preserve"> </w:t>
      </w:r>
      <w:r w:rsidR="001A11B5" w:rsidRPr="001A11B5">
        <w:t>52 out of total 90 posts of lab technicians (58%) are vacant in the district, even 7 DMCs are without lab technicians.</w:t>
      </w:r>
      <w:r w:rsidR="001A11B5">
        <w:t xml:space="preserve"> </w:t>
      </w:r>
      <w:r w:rsidR="00FF6DC8" w:rsidRPr="00367386">
        <w:t>Mean population served by a single lab is 69203+/- 162458</w:t>
      </w:r>
      <w:r w:rsidR="007D3CA4">
        <w:t>.</w:t>
      </w:r>
      <w:r w:rsidR="00FF6DC8" w:rsidRPr="00367386">
        <w:t xml:space="preserve"> </w:t>
      </w:r>
      <w:r w:rsidR="00C27B1B">
        <w:t>V</w:t>
      </w:r>
      <w:r w:rsidR="00C27B1B" w:rsidRPr="006528DC">
        <w:t>acancy of MPW is related to the cure rate of TB that is as the vac</w:t>
      </w:r>
      <w:r w:rsidR="00367386">
        <w:t>ancy increases cure rate decreases</w:t>
      </w:r>
      <w:r w:rsidR="00C27B1B">
        <w:t xml:space="preserve"> and is inversely correlated (r = 0.99)</w:t>
      </w:r>
      <w:r w:rsidR="00C27B1B" w:rsidRPr="006528DC">
        <w:t>.</w:t>
      </w:r>
      <w:r w:rsidR="00C27B1B">
        <w:t xml:space="preserve"> </w:t>
      </w:r>
      <w:r w:rsidR="001A11B5">
        <w:t>This is due to the fact that MPWs are also DOTS providers.</w:t>
      </w:r>
    </w:p>
    <w:p w:rsidR="00FF6DC8" w:rsidRPr="00A21D6D" w:rsidRDefault="00D211C8" w:rsidP="00FF6DC8">
      <w:pPr>
        <w:pStyle w:val="am1"/>
        <w:spacing w:after="120" w:line="480" w:lineRule="auto"/>
        <w:rPr>
          <w:rFonts w:ascii="Times New Roman" w:hAnsi="Times New Roman" w:cs="Times New Roman"/>
          <w:b w:val="0"/>
        </w:rPr>
      </w:pPr>
      <w:r>
        <w:rPr>
          <w:rFonts w:ascii="Times New Roman" w:hAnsi="Times New Roman"/>
          <w:b w:val="0"/>
        </w:rPr>
        <w:t>O</w:t>
      </w:r>
      <w:r w:rsidR="00FF6DC8" w:rsidRPr="006528DC">
        <w:rPr>
          <w:rFonts w:ascii="Times New Roman" w:hAnsi="Times New Roman"/>
          <w:b w:val="0"/>
        </w:rPr>
        <w:t>nly 33% of the health workers are able to visit their villages in a week</w:t>
      </w:r>
      <w:r w:rsidR="007D3CA4" w:rsidRPr="00A21D6D">
        <w:rPr>
          <w:rFonts w:ascii="Times New Roman" w:hAnsi="Times New Roman" w:cs="Times New Roman"/>
          <w:b w:val="0"/>
        </w:rPr>
        <w:t>.</w:t>
      </w:r>
      <w:r w:rsidR="00A21D6D" w:rsidRPr="00A21D6D">
        <w:rPr>
          <w:rFonts w:ascii="Times New Roman" w:hAnsi="Times New Roman" w:cs="Times New Roman"/>
          <w:b w:val="0"/>
        </w:rPr>
        <w:t xml:space="preserve"> 59% of them said that people try to hide the disease even from them due to prevalent stigma in the community.</w:t>
      </w:r>
    </w:p>
    <w:p w:rsidR="00FF6DC8" w:rsidRPr="00014D07" w:rsidRDefault="006468D3" w:rsidP="007D3CA4">
      <w:pPr>
        <w:spacing w:after="120" w:line="480" w:lineRule="auto"/>
        <w:jc w:val="both"/>
      </w:pPr>
      <w:r w:rsidRPr="007D3CA4">
        <w:rPr>
          <w:b/>
        </w:rPr>
        <w:t>Conclusion:</w:t>
      </w:r>
      <w:r w:rsidR="007D3CA4">
        <w:t xml:space="preserve"> To fill all the vacancies and to have more involvement of </w:t>
      </w:r>
      <w:r w:rsidR="00111575" w:rsidRPr="00014D07">
        <w:t>private sector</w:t>
      </w:r>
      <w:r w:rsidR="007D3CA4">
        <w:t xml:space="preserve"> and medical college</w:t>
      </w:r>
      <w:r w:rsidR="00111575" w:rsidRPr="00014D07">
        <w:t xml:space="preserve"> is the key to have a sensitive IDSP.</w:t>
      </w:r>
      <w:r w:rsidR="007D3CA4">
        <w:t xml:space="preserve"> </w:t>
      </w:r>
      <w:r w:rsidR="00FF6DC8" w:rsidRPr="00014D07">
        <w:t>Need to have less area for monitoring and some mobile allowance for MPWs to SMS data to the HQs</w:t>
      </w:r>
      <w:r w:rsidR="007D3CA4">
        <w:t>.</w:t>
      </w:r>
    </w:p>
    <w:p w:rsidR="00CC0040" w:rsidRDefault="006468D3" w:rsidP="00605E1E">
      <w:pPr>
        <w:spacing w:after="120" w:line="480" w:lineRule="auto"/>
        <w:jc w:val="both"/>
      </w:pPr>
      <w:r w:rsidRPr="00B5618B">
        <w:rPr>
          <w:b/>
          <w:color w:val="000000"/>
        </w:rPr>
        <w:t xml:space="preserve">Key words: </w:t>
      </w:r>
      <w:r w:rsidR="00111575">
        <w:t>IDSP, TB, surveillance , integration, sensitivity.</w:t>
      </w:r>
    </w:p>
    <w:sectPr w:rsidR="00CC0040" w:rsidSect="007A30E7">
      <w:footerReference w:type="even" r:id="rId7"/>
      <w:footerReference w:type="default" r:id="rId8"/>
      <w:footnotePr>
        <w:pos w:val="beneathText"/>
      </w:footnotePr>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C0" w:rsidRDefault="00CA28C0">
      <w:r>
        <w:separator/>
      </w:r>
    </w:p>
  </w:endnote>
  <w:endnote w:type="continuationSeparator" w:id="1">
    <w:p w:rsidR="00CA28C0" w:rsidRDefault="00CA28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lbany AM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1B" w:rsidRDefault="00CD36A8">
    <w:pPr>
      <w:pStyle w:val="Footer"/>
      <w:framePr w:wrap="around" w:vAnchor="text" w:hAnchor="margin" w:xAlign="right" w:y="1"/>
      <w:rPr>
        <w:rStyle w:val="PageNumber"/>
      </w:rPr>
    </w:pPr>
    <w:r>
      <w:rPr>
        <w:rStyle w:val="PageNumber"/>
      </w:rPr>
      <w:fldChar w:fldCharType="begin"/>
    </w:r>
    <w:r w:rsidR="00C27B1B">
      <w:rPr>
        <w:rStyle w:val="PageNumber"/>
      </w:rPr>
      <w:instrText xml:space="preserve">PAGE  </w:instrText>
    </w:r>
    <w:r>
      <w:rPr>
        <w:rStyle w:val="PageNumber"/>
      </w:rPr>
      <w:fldChar w:fldCharType="end"/>
    </w:r>
  </w:p>
  <w:p w:rsidR="00C27B1B" w:rsidRDefault="00C27B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1B" w:rsidRDefault="00CD36A8">
    <w:pPr>
      <w:pStyle w:val="Footer"/>
      <w:framePr w:wrap="around" w:vAnchor="text" w:hAnchor="margin" w:xAlign="right" w:y="1"/>
      <w:rPr>
        <w:rStyle w:val="PageNumber"/>
      </w:rPr>
    </w:pPr>
    <w:r>
      <w:rPr>
        <w:rStyle w:val="PageNumber"/>
      </w:rPr>
      <w:fldChar w:fldCharType="begin"/>
    </w:r>
    <w:r w:rsidR="00C27B1B">
      <w:rPr>
        <w:rStyle w:val="PageNumber"/>
      </w:rPr>
      <w:instrText xml:space="preserve">PAGE  </w:instrText>
    </w:r>
    <w:r>
      <w:rPr>
        <w:rStyle w:val="PageNumber"/>
      </w:rPr>
      <w:fldChar w:fldCharType="separate"/>
    </w:r>
    <w:r w:rsidR="00ED7601">
      <w:rPr>
        <w:rStyle w:val="PageNumber"/>
        <w:noProof/>
      </w:rPr>
      <w:t>1</w:t>
    </w:r>
    <w:r>
      <w:rPr>
        <w:rStyle w:val="PageNumber"/>
      </w:rPr>
      <w:fldChar w:fldCharType="end"/>
    </w:r>
  </w:p>
  <w:p w:rsidR="00C27B1B" w:rsidRDefault="00C27B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C0" w:rsidRDefault="00CA28C0">
      <w:r>
        <w:separator/>
      </w:r>
    </w:p>
  </w:footnote>
  <w:footnote w:type="continuationSeparator" w:id="1">
    <w:p w:rsidR="00CA28C0" w:rsidRDefault="00CA2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0096"/>
    <w:multiLevelType w:val="hybridMultilevel"/>
    <w:tmpl w:val="2BD29BE0"/>
    <w:lvl w:ilvl="0" w:tplc="618E109A">
      <w:start w:val="1"/>
      <w:numFmt w:val="bullet"/>
      <w:lvlText w:val=""/>
      <w:lvlJc w:val="left"/>
      <w:pPr>
        <w:tabs>
          <w:tab w:val="num" w:pos="720"/>
        </w:tabs>
        <w:ind w:left="720" w:hanging="360"/>
      </w:pPr>
      <w:rPr>
        <w:rFonts w:ascii="Wingdings" w:hAnsi="Wingdings" w:hint="default"/>
      </w:rPr>
    </w:lvl>
    <w:lvl w:ilvl="1" w:tplc="3142F60C" w:tentative="1">
      <w:start w:val="1"/>
      <w:numFmt w:val="bullet"/>
      <w:lvlText w:val=""/>
      <w:lvlJc w:val="left"/>
      <w:pPr>
        <w:tabs>
          <w:tab w:val="num" w:pos="1440"/>
        </w:tabs>
        <w:ind w:left="1440" w:hanging="360"/>
      </w:pPr>
      <w:rPr>
        <w:rFonts w:ascii="Wingdings" w:hAnsi="Wingdings" w:hint="default"/>
      </w:rPr>
    </w:lvl>
    <w:lvl w:ilvl="2" w:tplc="C7905B56" w:tentative="1">
      <w:start w:val="1"/>
      <w:numFmt w:val="bullet"/>
      <w:lvlText w:val=""/>
      <w:lvlJc w:val="left"/>
      <w:pPr>
        <w:tabs>
          <w:tab w:val="num" w:pos="2160"/>
        </w:tabs>
        <w:ind w:left="2160" w:hanging="360"/>
      </w:pPr>
      <w:rPr>
        <w:rFonts w:ascii="Wingdings" w:hAnsi="Wingdings" w:hint="default"/>
      </w:rPr>
    </w:lvl>
    <w:lvl w:ilvl="3" w:tplc="6804D2CE" w:tentative="1">
      <w:start w:val="1"/>
      <w:numFmt w:val="bullet"/>
      <w:lvlText w:val=""/>
      <w:lvlJc w:val="left"/>
      <w:pPr>
        <w:tabs>
          <w:tab w:val="num" w:pos="2880"/>
        </w:tabs>
        <w:ind w:left="2880" w:hanging="360"/>
      </w:pPr>
      <w:rPr>
        <w:rFonts w:ascii="Wingdings" w:hAnsi="Wingdings" w:hint="default"/>
      </w:rPr>
    </w:lvl>
    <w:lvl w:ilvl="4" w:tplc="C2223660" w:tentative="1">
      <w:start w:val="1"/>
      <w:numFmt w:val="bullet"/>
      <w:lvlText w:val=""/>
      <w:lvlJc w:val="left"/>
      <w:pPr>
        <w:tabs>
          <w:tab w:val="num" w:pos="3600"/>
        </w:tabs>
        <w:ind w:left="3600" w:hanging="360"/>
      </w:pPr>
      <w:rPr>
        <w:rFonts w:ascii="Wingdings" w:hAnsi="Wingdings" w:hint="default"/>
      </w:rPr>
    </w:lvl>
    <w:lvl w:ilvl="5" w:tplc="748A661E" w:tentative="1">
      <w:start w:val="1"/>
      <w:numFmt w:val="bullet"/>
      <w:lvlText w:val=""/>
      <w:lvlJc w:val="left"/>
      <w:pPr>
        <w:tabs>
          <w:tab w:val="num" w:pos="4320"/>
        </w:tabs>
        <w:ind w:left="4320" w:hanging="360"/>
      </w:pPr>
      <w:rPr>
        <w:rFonts w:ascii="Wingdings" w:hAnsi="Wingdings" w:hint="default"/>
      </w:rPr>
    </w:lvl>
    <w:lvl w:ilvl="6" w:tplc="123AC152" w:tentative="1">
      <w:start w:val="1"/>
      <w:numFmt w:val="bullet"/>
      <w:lvlText w:val=""/>
      <w:lvlJc w:val="left"/>
      <w:pPr>
        <w:tabs>
          <w:tab w:val="num" w:pos="5040"/>
        </w:tabs>
        <w:ind w:left="5040" w:hanging="360"/>
      </w:pPr>
      <w:rPr>
        <w:rFonts w:ascii="Wingdings" w:hAnsi="Wingdings" w:hint="default"/>
      </w:rPr>
    </w:lvl>
    <w:lvl w:ilvl="7" w:tplc="18E21FA4" w:tentative="1">
      <w:start w:val="1"/>
      <w:numFmt w:val="bullet"/>
      <w:lvlText w:val=""/>
      <w:lvlJc w:val="left"/>
      <w:pPr>
        <w:tabs>
          <w:tab w:val="num" w:pos="5760"/>
        </w:tabs>
        <w:ind w:left="5760" w:hanging="360"/>
      </w:pPr>
      <w:rPr>
        <w:rFonts w:ascii="Wingdings" w:hAnsi="Wingdings" w:hint="default"/>
      </w:rPr>
    </w:lvl>
    <w:lvl w:ilvl="8" w:tplc="26B41B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pos w:val="beneathText"/>
    <w:footnote w:id="0"/>
    <w:footnote w:id="1"/>
  </w:footnotePr>
  <w:endnotePr>
    <w:endnote w:id="0"/>
    <w:endnote w:id="1"/>
  </w:endnotePr>
  <w:compat/>
  <w:rsids>
    <w:rsidRoot w:val="006468D3"/>
    <w:rsid w:val="00014D07"/>
    <w:rsid w:val="0003708A"/>
    <w:rsid w:val="000902C8"/>
    <w:rsid w:val="000A1E6F"/>
    <w:rsid w:val="000B2162"/>
    <w:rsid w:val="00111575"/>
    <w:rsid w:val="00146E92"/>
    <w:rsid w:val="00154D43"/>
    <w:rsid w:val="001A11B5"/>
    <w:rsid w:val="002258AD"/>
    <w:rsid w:val="002522E8"/>
    <w:rsid w:val="002C3210"/>
    <w:rsid w:val="002D292F"/>
    <w:rsid w:val="002F3E36"/>
    <w:rsid w:val="00355242"/>
    <w:rsid w:val="00367386"/>
    <w:rsid w:val="00376400"/>
    <w:rsid w:val="00397ADF"/>
    <w:rsid w:val="003A0DAE"/>
    <w:rsid w:val="003C6DA9"/>
    <w:rsid w:val="0043326F"/>
    <w:rsid w:val="00495638"/>
    <w:rsid w:val="004B7547"/>
    <w:rsid w:val="004F5615"/>
    <w:rsid w:val="00501BBB"/>
    <w:rsid w:val="00512C43"/>
    <w:rsid w:val="00562574"/>
    <w:rsid w:val="00562F95"/>
    <w:rsid w:val="00572B7D"/>
    <w:rsid w:val="00585745"/>
    <w:rsid w:val="00592B0D"/>
    <w:rsid w:val="005A7A4A"/>
    <w:rsid w:val="00605E1E"/>
    <w:rsid w:val="00634A2F"/>
    <w:rsid w:val="006468D3"/>
    <w:rsid w:val="006C0CF3"/>
    <w:rsid w:val="006F1500"/>
    <w:rsid w:val="00707D58"/>
    <w:rsid w:val="007557FE"/>
    <w:rsid w:val="007A30E7"/>
    <w:rsid w:val="007D3CA4"/>
    <w:rsid w:val="008426B6"/>
    <w:rsid w:val="008577BE"/>
    <w:rsid w:val="0088580D"/>
    <w:rsid w:val="008B12C9"/>
    <w:rsid w:val="008F5B12"/>
    <w:rsid w:val="00933902"/>
    <w:rsid w:val="00A21D6D"/>
    <w:rsid w:val="00A348AA"/>
    <w:rsid w:val="00A61291"/>
    <w:rsid w:val="00A6225D"/>
    <w:rsid w:val="00A847B2"/>
    <w:rsid w:val="00AA56EF"/>
    <w:rsid w:val="00AC0762"/>
    <w:rsid w:val="00AF4F5B"/>
    <w:rsid w:val="00B5618B"/>
    <w:rsid w:val="00B619FF"/>
    <w:rsid w:val="00B72685"/>
    <w:rsid w:val="00B7291F"/>
    <w:rsid w:val="00B920B0"/>
    <w:rsid w:val="00C2392F"/>
    <w:rsid w:val="00C27B1B"/>
    <w:rsid w:val="00C554D2"/>
    <w:rsid w:val="00C76E24"/>
    <w:rsid w:val="00C80D0D"/>
    <w:rsid w:val="00CA1566"/>
    <w:rsid w:val="00CA28C0"/>
    <w:rsid w:val="00CC0040"/>
    <w:rsid w:val="00CC754C"/>
    <w:rsid w:val="00CD080A"/>
    <w:rsid w:val="00CD36A8"/>
    <w:rsid w:val="00D211C8"/>
    <w:rsid w:val="00D30F4F"/>
    <w:rsid w:val="00D86B5E"/>
    <w:rsid w:val="00DA1EE0"/>
    <w:rsid w:val="00DA61DF"/>
    <w:rsid w:val="00E952AF"/>
    <w:rsid w:val="00EC7F61"/>
    <w:rsid w:val="00ED7601"/>
    <w:rsid w:val="00F31419"/>
    <w:rsid w:val="00F35F7D"/>
    <w:rsid w:val="00F75CF4"/>
    <w:rsid w:val="00F85E0A"/>
    <w:rsid w:val="00F866AD"/>
    <w:rsid w:val="00F95892"/>
    <w:rsid w:val="00F95975"/>
    <w:rsid w:val="00FC3968"/>
    <w:rsid w:val="00FF6DC8"/>
    <w:rsid w:val="00FF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8D3"/>
    <w:pPr>
      <w:suppressAutoHyphens/>
    </w:pPr>
    <w:rPr>
      <w:sz w:val="24"/>
      <w:szCs w:val="24"/>
      <w:lang w:eastAsia="ar-SA"/>
    </w:rPr>
  </w:style>
  <w:style w:type="paragraph" w:styleId="Heading2">
    <w:name w:val="heading 2"/>
    <w:basedOn w:val="Normal"/>
    <w:next w:val="Normal"/>
    <w:qFormat/>
    <w:rsid w:val="006468D3"/>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6468D3"/>
    <w:pPr>
      <w:keepNext/>
      <w:spacing w:before="240" w:after="120"/>
    </w:pPr>
    <w:rPr>
      <w:rFonts w:ascii="Albany AMT" w:eastAsia="Albany AMT" w:hAnsi="Albany AMT" w:cs="Albany AMT"/>
      <w:sz w:val="28"/>
      <w:szCs w:val="28"/>
    </w:rPr>
  </w:style>
  <w:style w:type="paragraph" w:styleId="BodyText">
    <w:name w:val="Body Text"/>
    <w:basedOn w:val="Normal"/>
    <w:rsid w:val="006468D3"/>
    <w:rPr>
      <w:b/>
      <w:bCs/>
      <w:sz w:val="40"/>
    </w:rPr>
  </w:style>
  <w:style w:type="paragraph" w:styleId="BodyText2">
    <w:name w:val="Body Text 2"/>
    <w:basedOn w:val="Normal"/>
    <w:rsid w:val="006468D3"/>
    <w:rPr>
      <w:color w:val="000000"/>
    </w:rPr>
  </w:style>
  <w:style w:type="paragraph" w:styleId="Footer">
    <w:name w:val="footer"/>
    <w:basedOn w:val="Normal"/>
    <w:rsid w:val="006468D3"/>
    <w:pPr>
      <w:tabs>
        <w:tab w:val="center" w:pos="4320"/>
        <w:tab w:val="right" w:pos="8640"/>
      </w:tabs>
    </w:pPr>
  </w:style>
  <w:style w:type="character" w:styleId="PageNumber">
    <w:name w:val="page number"/>
    <w:basedOn w:val="DefaultParagraphFont"/>
    <w:rsid w:val="006468D3"/>
  </w:style>
  <w:style w:type="paragraph" w:customStyle="1" w:styleId="am1">
    <w:name w:val="am1"/>
    <w:basedOn w:val="Normal"/>
    <w:rsid w:val="00933902"/>
    <w:pPr>
      <w:suppressAutoHyphens w:val="0"/>
      <w:jc w:val="both"/>
    </w:pPr>
    <w:rPr>
      <w:rFonts w:ascii="Arial" w:hAnsi="Arial" w:cs="Arial"/>
      <w:b/>
      <w:bCs/>
      <w:lang w:eastAsia="en-US"/>
    </w:rPr>
  </w:style>
  <w:style w:type="paragraph" w:customStyle="1" w:styleId="Index">
    <w:name w:val="Index"/>
    <w:basedOn w:val="Normal"/>
    <w:rsid w:val="00355242"/>
    <w:pPr>
      <w:suppressLineNumbers/>
    </w:pPr>
  </w:style>
</w:styles>
</file>

<file path=word/webSettings.xml><?xml version="1.0" encoding="utf-8"?>
<w:webSettings xmlns:r="http://schemas.openxmlformats.org/officeDocument/2006/relationships" xmlns:w="http://schemas.openxmlformats.org/wordprocessingml/2006/main">
  <w:divs>
    <w:div w:id="51854339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96">
          <w:marLeft w:val="0"/>
          <w:marRight w:val="0"/>
          <w:marTop w:val="0"/>
          <w:marBottom w:val="0"/>
          <w:divBdr>
            <w:top w:val="none" w:sz="0" w:space="0" w:color="auto"/>
            <w:left w:val="none" w:sz="0" w:space="0" w:color="auto"/>
            <w:bottom w:val="none" w:sz="0" w:space="0" w:color="auto"/>
            <w:right w:val="none" w:sz="0" w:space="0" w:color="auto"/>
          </w:divBdr>
        </w:div>
      </w:divsChild>
    </w:div>
    <w:div w:id="1586258530">
      <w:bodyDiv w:val="1"/>
      <w:marLeft w:val="0"/>
      <w:marRight w:val="0"/>
      <w:marTop w:val="0"/>
      <w:marBottom w:val="0"/>
      <w:divBdr>
        <w:top w:val="none" w:sz="0" w:space="0" w:color="auto"/>
        <w:left w:val="none" w:sz="0" w:space="0" w:color="auto"/>
        <w:bottom w:val="none" w:sz="0" w:space="0" w:color="auto"/>
        <w:right w:val="none" w:sz="0" w:space="0" w:color="auto"/>
      </w:divBdr>
    </w:div>
    <w:div w:id="2066946414">
      <w:bodyDiv w:val="1"/>
      <w:marLeft w:val="0"/>
      <w:marRight w:val="0"/>
      <w:marTop w:val="0"/>
      <w:marBottom w:val="0"/>
      <w:divBdr>
        <w:top w:val="none" w:sz="0" w:space="0" w:color="auto"/>
        <w:left w:val="none" w:sz="0" w:space="0" w:color="auto"/>
        <w:bottom w:val="none" w:sz="0" w:space="0" w:color="auto"/>
        <w:right w:val="none" w:sz="0" w:space="0" w:color="auto"/>
      </w:divBdr>
      <w:divsChild>
        <w:div w:id="674193448">
          <w:marLeft w:val="0"/>
          <w:marRight w:val="0"/>
          <w:marTop w:val="0"/>
          <w:marBottom w:val="0"/>
          <w:divBdr>
            <w:top w:val="none" w:sz="0" w:space="0" w:color="auto"/>
            <w:left w:val="none" w:sz="0" w:space="0" w:color="auto"/>
            <w:bottom w:val="none" w:sz="0" w:space="0" w:color="auto"/>
            <w:right w:val="none" w:sz="0" w:space="0" w:color="auto"/>
          </w:divBdr>
          <w:divsChild>
            <w:div w:id="1851408795">
              <w:marLeft w:val="0"/>
              <w:marRight w:val="0"/>
              <w:marTop w:val="0"/>
              <w:marBottom w:val="0"/>
              <w:divBdr>
                <w:top w:val="none" w:sz="0" w:space="0" w:color="auto"/>
                <w:left w:val="none" w:sz="0" w:space="0" w:color="auto"/>
                <w:bottom w:val="none" w:sz="0" w:space="0" w:color="auto"/>
                <w:right w:val="none" w:sz="0" w:space="0" w:color="auto"/>
              </w:divBdr>
            </w:div>
            <w:div w:id="193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ABSTRACT</vt:lpstr>
    </vt:vector>
  </TitlesOfParts>
  <Company>home</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OmeshBharti</dc:creator>
  <cp:lastModifiedBy>a</cp:lastModifiedBy>
  <cp:revision>2</cp:revision>
  <dcterms:created xsi:type="dcterms:W3CDTF">2017-07-28T03:37:00Z</dcterms:created>
  <dcterms:modified xsi:type="dcterms:W3CDTF">2017-07-28T03:37:00Z</dcterms:modified>
</cp:coreProperties>
</file>